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0" w:before="0"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История развития концепции интернета вещей</w:t>
      </w:r>
    </w:p>
    <w:p w:rsidR="00000000" w:rsidDel="00000000" w:rsidP="00000000" w:rsidRDefault="00000000" w:rsidRPr="00000000" w14:paraId="00000002">
      <w:pPr>
        <w:pStyle w:val="Heading3"/>
        <w:spacing w:after="0" w:before="0" w:lineRule="auto"/>
        <w:ind w:firstLine="72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Тема лекции: </w:t>
      </w:r>
      <w:r w:rsidDel="00000000" w:rsidR="00000000" w:rsidRPr="00000000">
        <w:rPr>
          <w:rFonts w:ascii="Times New Roman" w:cs="Times New Roman" w:eastAsia="Times New Roman" w:hAnsi="Times New Roman"/>
          <w:b w:val="0"/>
          <w:bCs w:val="0"/>
          <w:color w:val="000000"/>
          <w:sz w:val="24"/>
          <w:szCs w:val="24"/>
          <w:highlight w:val="white"/>
          <w:rtl w:val="0"/>
        </w:rPr>
        <w:t xml:space="preserve">История возникновения и развития концепции интернета вещей (IoT) от первых идей конца XX века до современных систем. Ключевые этапы: появление термина в 1999 году, популяризация через публикации в научно-популярной прессе, осмысление интернета вещей как важнейшей технологии автоматизации, оценка рисков и возможностей в стратегических докладах, формирование профессиональных конференций и экосистемы стартапов. Рассматриваются технологии идентификации объектов, средства измерения и передачи данных, а также прогнозы развития и объёмы инвестиций в IoT.</w:t>
        <w:br w:type="textWrapping"/>
        <w:tab/>
      </w:r>
      <w:r w:rsidDel="00000000" w:rsidR="00000000" w:rsidRPr="00000000">
        <w:rPr>
          <w:rFonts w:ascii="Times New Roman" w:cs="Times New Roman" w:eastAsia="Times New Roman" w:hAnsi="Times New Roman"/>
          <w:color w:val="000000"/>
          <w:sz w:val="24"/>
          <w:szCs w:val="24"/>
          <w:highlight w:val="white"/>
          <w:rtl w:val="0"/>
        </w:rPr>
        <w:t xml:space="preserve">Основные вопросы лекции:</w:t>
      </w:r>
    </w:p>
    <w:p w:rsidR="00000000" w:rsidDel="00000000" w:rsidP="00000000" w:rsidRDefault="00000000" w:rsidRPr="00000000" w14:paraId="00000003">
      <w:pPr>
        <w:numPr>
          <w:ilvl w:val="0"/>
          <w:numId w:val="2"/>
        </w:numPr>
        <w:spacing w:after="0" w:before="0" w:lineRule="auto"/>
        <w:ind w:left="360"/>
        <w:rPr>
          <w:rFonts w:ascii="Times New Roman" w:cs="Times New Roman" w:eastAsia="Times New Roman" w:hAnsi="Times New Roman"/>
          <w:b w:val="0"/>
          <w:bCs w:val="0"/>
          <w:color w:val="000000"/>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Определение интернета вещей и ключевые вехи истории</w:t>
      </w:r>
    </w:p>
    <w:p w:rsidR="00000000" w:rsidDel="00000000" w:rsidP="00000000" w:rsidRDefault="00000000" w:rsidRPr="00000000" w14:paraId="00000004">
      <w:pPr>
        <w:numPr>
          <w:ilvl w:val="0"/>
          <w:numId w:val="2"/>
        </w:numPr>
        <w:spacing w:after="0" w:before="0" w:lineRule="auto"/>
        <w:ind w:left="360"/>
        <w:rPr>
          <w:rFonts w:ascii="Times New Roman" w:cs="Times New Roman" w:eastAsia="Times New Roman" w:hAnsi="Times New Roman"/>
          <w:b w:val="0"/>
          <w:bCs w:val="0"/>
          <w:color w:val="000000"/>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Кевин Эштон и первая презентация концепции в 1999 году</w:t>
      </w:r>
    </w:p>
    <w:p w:rsidR="00000000" w:rsidDel="00000000" w:rsidP="00000000" w:rsidRDefault="00000000" w:rsidRPr="00000000" w14:paraId="00000005">
      <w:pPr>
        <w:numPr>
          <w:ilvl w:val="0"/>
          <w:numId w:val="2"/>
        </w:numPr>
        <w:spacing w:after="0" w:before="0" w:lineRule="auto"/>
        <w:ind w:left="360"/>
        <w:rPr>
          <w:rFonts w:ascii="Times New Roman" w:cs="Times New Roman" w:eastAsia="Times New Roman" w:hAnsi="Times New Roman"/>
          <w:b w:val="0"/>
          <w:bCs w:val="0"/>
          <w:color w:val="000000"/>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Публикация в Scientific American 2004 года и примеры домашней автоматизации</w:t>
      </w:r>
    </w:p>
    <w:p w:rsidR="00000000" w:rsidDel="00000000" w:rsidP="00000000" w:rsidRDefault="00000000" w:rsidRPr="00000000" w14:paraId="00000006">
      <w:pPr>
        <w:numPr>
          <w:ilvl w:val="0"/>
          <w:numId w:val="2"/>
        </w:numPr>
        <w:spacing w:after="0" w:before="0" w:lineRule="auto"/>
        <w:ind w:left="360"/>
        <w:rPr>
          <w:rFonts w:ascii="Times New Roman" w:cs="Times New Roman" w:eastAsia="Times New Roman" w:hAnsi="Times New Roman"/>
          <w:b w:val="0"/>
          <w:bCs w:val="0"/>
          <w:color w:val="000000"/>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Отчёт Национального разведывательного совета США 2008 года: IoT как подрывная технология</w:t>
      </w:r>
    </w:p>
    <w:p w:rsidR="00000000" w:rsidDel="00000000" w:rsidP="00000000" w:rsidRDefault="00000000" w:rsidRPr="00000000" w14:paraId="00000007">
      <w:pPr>
        <w:numPr>
          <w:ilvl w:val="0"/>
          <w:numId w:val="2"/>
        </w:numPr>
        <w:spacing w:after="0" w:before="0" w:lineRule="auto"/>
        <w:ind w:left="360"/>
        <w:rPr>
          <w:rFonts w:ascii="Times New Roman" w:cs="Times New Roman" w:eastAsia="Times New Roman" w:hAnsi="Times New Roman"/>
          <w:b w:val="0"/>
          <w:bCs w:val="0"/>
          <w:color w:val="000000"/>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Период 2008–2009 годов: «рождение интернета вещей»</w:t>
      </w:r>
    </w:p>
    <w:p w:rsidR="00000000" w:rsidDel="00000000" w:rsidP="00000000" w:rsidRDefault="00000000" w:rsidRPr="00000000" w14:paraId="00000008">
      <w:pPr>
        <w:numPr>
          <w:ilvl w:val="0"/>
          <w:numId w:val="2"/>
        </w:numPr>
        <w:spacing w:after="0" w:before="0" w:lineRule="auto"/>
        <w:ind w:left="360"/>
        <w:rPr>
          <w:rFonts w:ascii="Times New Roman" w:cs="Times New Roman" w:eastAsia="Times New Roman" w:hAnsi="Times New Roman"/>
          <w:b w:val="0"/>
          <w:bCs w:val="0"/>
          <w:color w:val="000000"/>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Конференция Internet of Things в Брюсселе с 2009 года</w:t>
      </w:r>
    </w:p>
    <w:p w:rsidR="00000000" w:rsidDel="00000000" w:rsidP="00000000" w:rsidRDefault="00000000" w:rsidRPr="00000000" w14:paraId="00000009">
      <w:pPr>
        <w:numPr>
          <w:ilvl w:val="0"/>
          <w:numId w:val="2"/>
        </w:numPr>
        <w:spacing w:after="0" w:before="0" w:lineRule="auto"/>
        <w:ind w:left="360"/>
        <w:rPr>
          <w:rFonts w:ascii="Times New Roman" w:cs="Times New Roman" w:eastAsia="Times New Roman" w:hAnsi="Times New Roman"/>
          <w:b w:val="0"/>
          <w:bCs w:val="0"/>
          <w:color w:val="000000"/>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Туманные вычисления (fog computing) как платформа IoT</w:t>
      </w:r>
    </w:p>
    <w:p w:rsidR="00000000" w:rsidDel="00000000" w:rsidP="00000000" w:rsidRDefault="00000000" w:rsidRPr="00000000" w14:paraId="0000000A">
      <w:pPr>
        <w:numPr>
          <w:ilvl w:val="0"/>
          <w:numId w:val="2"/>
        </w:numPr>
        <w:spacing w:after="0" w:before="0" w:lineRule="auto"/>
        <w:ind w:left="360"/>
        <w:rPr>
          <w:rFonts w:ascii="Times New Roman" w:cs="Times New Roman" w:eastAsia="Times New Roman" w:hAnsi="Times New Roman"/>
          <w:b w:val="0"/>
          <w:bCs w:val="0"/>
          <w:color w:val="000000"/>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Технологии идентификации: RFID, QR-коды, MAC-адреса, IPv6</w:t>
      </w:r>
    </w:p>
    <w:p w:rsidR="00000000" w:rsidDel="00000000" w:rsidP="00000000" w:rsidRDefault="00000000" w:rsidRPr="00000000" w14:paraId="0000000B">
      <w:pPr>
        <w:numPr>
          <w:ilvl w:val="0"/>
          <w:numId w:val="2"/>
        </w:numPr>
        <w:spacing w:after="0" w:before="0" w:lineRule="auto"/>
        <w:ind w:left="360"/>
        <w:rPr>
          <w:rFonts w:ascii="Times New Roman" w:cs="Times New Roman" w:eastAsia="Times New Roman" w:hAnsi="Times New Roman"/>
          <w:b w:val="0"/>
          <w:bCs w:val="0"/>
          <w:color w:val="000000"/>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Средства измерения: датчики, сенсорные сети, автономное питание</w:t>
      </w:r>
    </w:p>
    <w:p w:rsidR="00000000" w:rsidDel="00000000" w:rsidP="00000000" w:rsidRDefault="00000000" w:rsidRPr="00000000" w14:paraId="0000000C">
      <w:pPr>
        <w:numPr>
          <w:ilvl w:val="0"/>
          <w:numId w:val="2"/>
        </w:numPr>
        <w:spacing w:after="0" w:before="0" w:lineRule="auto"/>
        <w:ind w:left="360"/>
        <w:rPr>
          <w:rFonts w:ascii="Times New Roman" w:cs="Times New Roman" w:eastAsia="Times New Roman" w:hAnsi="Times New Roman"/>
          <w:b w:val="0"/>
          <w:bCs w:val="0"/>
          <w:color w:val="000000"/>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Средства передачи данных: беспроводные (IEEE 802.15.4, ZigBee, 6LoWPAN) и проводные (PLC)</w:t>
      </w:r>
    </w:p>
    <w:p w:rsidR="00000000" w:rsidDel="00000000" w:rsidP="00000000" w:rsidRDefault="00000000" w:rsidRPr="00000000" w14:paraId="0000000D">
      <w:pPr>
        <w:numPr>
          <w:ilvl w:val="0"/>
          <w:numId w:val="2"/>
        </w:numPr>
        <w:spacing w:after="0" w:before="0" w:lineRule="auto"/>
        <w:ind w:left="0" w:hanging="360"/>
        <w:rPr>
          <w:rFonts w:ascii="Times New Roman" w:cs="Times New Roman" w:eastAsia="Times New Roman" w:hAnsi="Times New Roman"/>
          <w:b w:val="0"/>
          <w:bCs w:val="0"/>
          <w:color w:val="000000"/>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Прогнозы развития: количество устройств и мировые инвестиции</w:t>
        <w:br w:type="textWrapping"/>
      </w:r>
      <w:r w:rsidDel="00000000" w:rsidR="00000000" w:rsidRPr="00000000">
        <w:rPr>
          <w:rFonts w:ascii="Times New Roman" w:cs="Times New Roman" w:eastAsia="Times New Roman" w:hAnsi="Times New Roman"/>
          <w:b w:val="1"/>
          <w:bCs w:val="1"/>
          <w:color w:val="000000"/>
          <w:sz w:val="24"/>
          <w:szCs w:val="24"/>
          <w:highlight w:val="white"/>
          <w:rtl w:val="0"/>
        </w:rPr>
        <w:t xml:space="preserve">Цель лекции:</w:t>
      </w:r>
      <w:r w:rsidDel="00000000" w:rsidR="00000000" w:rsidRPr="00000000">
        <w:rPr>
          <w:rFonts w:ascii="Times New Roman" w:cs="Times New Roman" w:eastAsia="Times New Roman" w:hAnsi="Times New Roman"/>
          <w:b w:val="1"/>
          <w:bCs w:val="1"/>
          <w:sz w:val="24"/>
          <w:szCs w:val="24"/>
          <w:highlight w:val="white"/>
          <w:rtl w:val="0"/>
        </w:rPr>
        <w:br w:type="textWrapping"/>
        <w:tab/>
      </w:r>
      <w:r w:rsidDel="00000000" w:rsidR="00000000" w:rsidRPr="00000000">
        <w:rPr>
          <w:rFonts w:ascii="Times New Roman" w:cs="Times New Roman" w:eastAsia="Times New Roman" w:hAnsi="Times New Roman"/>
          <w:sz w:val="24"/>
          <w:szCs w:val="24"/>
          <w:highlight w:val="white"/>
          <w:rtl w:val="0"/>
        </w:rPr>
        <w:t xml:space="preserve">Разобраться, как и почему возникла концепция интернета вещей и каким образом она превратилась из исследовательской идеи в одну из ключевых технологий XXI века. Понять, кто впервые сформулировал термин, какие технические предпосылки лежат в его основе, какие технологии идентификации, измерения и передачи данных обеспечили практическое распространение IoT. По итогам лекции студент должен уметь объяснить, чем интернет вещей отличается от обычного интернета, почему он рассматривается как массовая технология с огромным экономическим потенциалом, какие риски для информационной безопасности он несёт и какие прогнозы развития даются на ближайшие годы.</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0E">
      <w:pPr>
        <w:spacing w:after="0" w:before="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F">
      <w:pPr>
        <w:pStyle w:val="Heading3"/>
        <w:spacing w:after="0" w:before="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 Краткое содержание</w:t>
      </w:r>
    </w:p>
    <w:p w:rsidR="00000000" w:rsidDel="00000000" w:rsidP="00000000" w:rsidRDefault="00000000" w:rsidRPr="00000000" w14:paraId="00000010">
      <w:pPr>
        <w:pStyle w:val="Heading4"/>
        <w:spacing w:after="0" w:before="0" w:lineRule="auto"/>
        <w:ind w:firstLine="72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Что такое интернет вещей</w:t>
      </w:r>
    </w:p>
    <w:p w:rsidR="00000000" w:rsidDel="00000000" w:rsidP="00000000" w:rsidRDefault="00000000" w:rsidRPr="00000000" w14:paraId="00000011">
      <w:pPr>
        <w:spacing w:after="0" w:before="0" w:line="259"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начале лекции даётся определение интернета вещей и поясняется, чем он отличается от привычного интернета людей и компьютеров. Далее последовательно рассматриваются исторические этапы становления концепции: работа Кевина Эштона и группы Auto-ID, публикация в Scientific American, оценки и выводы Национального разведывательного совета США, аналитические отчёты Cisco и Ericsson. Отдельный блок посвящён развитию ключевых технологий, которые сделали IoT возможным на практике: RFID и другие средства идентификации, новые протоколы передачи данных, сенсорные сети и методы автономного питания датчиков. Завершает лекцию обзор прогнозов по росту числа подключённых устройств и инвестициям в инфраструктуру интернета вещей, а также обсуждение того, почему IoT одновременно несёт большие экономические возможности и значительные риски в области безопасности.3.1. Основные определения и исходные понятия</w:t>
      </w:r>
    </w:p>
    <w:p w:rsidR="00000000" w:rsidDel="00000000" w:rsidP="00000000" w:rsidRDefault="00000000" w:rsidRPr="00000000" w14:paraId="00000012">
      <w:pPr>
        <w:spacing w:after="0" w:before="0" w:line="259"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Интернет вещей (Internet of Things, IoT) — это концепция вычислительной сети физических объектов, снабжённых встроенными средствами измерения, идентификации и связи и способных обмениваться данными между собой и внешними информационными системами без постоянного участия человека.</w:t>
        <w:br w:type="textWrapping"/>
        <w:tab/>
        <w:t xml:space="preserve">Традиционный интернет связывает между собой в первую очередь компьютеры и серверы, которыми управляют пользователи. При этом большая часть информации вводится вручную: человек набирает текст, загружает файл, инициирует запрос. В интернете вещей источником данных становятся сами предметы материального мира. Каждый такой объект оснащается:</w:t>
      </w:r>
    </w:p>
    <w:p w:rsidR="00000000" w:rsidDel="00000000" w:rsidP="00000000" w:rsidRDefault="00000000" w:rsidRPr="00000000" w14:paraId="00000013">
      <w:pPr>
        <w:spacing w:after="0" w:before="0" w:line="259"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уникальным идентификатором, позволяющим однозначно отличить его от других объектов;</w:t>
        <w:br w:type="textWrapping"/>
        <w:t xml:space="preserve"> – датчиками, регистрирующими состояние объекта или окружающей среды;</w:t>
        <w:br w:type="textWrapping"/>
        <w:t xml:space="preserve"> – встроенным процессором и программным обеспечением, выполняющими первичную обработку данных;</w:t>
        <w:br w:type="textWrapping"/>
        <w:t xml:space="preserve"> – модулем связи, обеспечивающим передачу данных по проводным или беспроводным каналам.</w:t>
      </w:r>
    </w:p>
    <w:p w:rsidR="00000000" w:rsidDel="00000000" w:rsidP="00000000" w:rsidRDefault="00000000" w:rsidRPr="00000000" w14:paraId="00000014">
      <w:pPr>
        <w:spacing w:after="0" w:before="0" w:line="259"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Именно автоматический обмен данными между физическими объектами и их интеграция в общую цифровую среду являются принципиальным отличием интернета вещей от классического интернета.</w:t>
      </w:r>
    </w:p>
    <w:p w:rsidR="00000000" w:rsidDel="00000000" w:rsidP="00000000" w:rsidRDefault="00000000" w:rsidRPr="00000000" w14:paraId="00000015">
      <w:pPr>
        <w:spacing w:after="0" w:before="0" w:line="259"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6">
      <w:pPr>
        <w:pStyle w:val="Heading4"/>
        <w:spacing w:after="0" w:before="0" w:lineRule="auto"/>
        <w:ind w:firstLine="72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Кевин Эштон и рождение термина (1999 год)</w:t>
      </w:r>
    </w:p>
    <w:p w:rsidR="00000000" w:rsidDel="00000000" w:rsidP="00000000" w:rsidRDefault="00000000" w:rsidRPr="00000000" w14:paraId="00000017">
      <w:pPr>
        <w:spacing w:after="0" w:before="0" w:line="259"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История современного понимания интернета вещей обычно отсчитывается с конца 1990-х годов. В это время в Массачусетском технологическом институте (MIT) действовала исследовательская группа Auto-ID, занимавшаяся применением радиочастотных меток (RFID) в логистике и розничной торговле. Одним из руководителей группы был инженер и исследователь Кевин Эштон.В 1999 году Эштон выступил с презентацией для руководства компании Procter &amp; Gamble. Он предложил оснащать каждую упаковку товара RFID-меткой. Метки считывались бы автоматически при прохождении товара через складские ворота или кассовые узлы, а информация о движении продукции передавалась бы в информационные системы компании без участия человека.Чтобы описать эту идею массового «подключения вещей», Эштон использовал выражение «internet of things». По сути, он предложил рассматривать товары, упаковку и логистическую инфраструктуру как участников единой сети, в которой «говорят» не люди, а объекты. Именно с этой презентации термин «интернет вещей» вошёл в научный и деловой оборот.</w:t>
      </w:r>
    </w:p>
    <w:p w:rsidR="00000000" w:rsidDel="00000000" w:rsidP="00000000" w:rsidRDefault="00000000" w:rsidRPr="00000000" w14:paraId="00000018">
      <w:pPr>
        <w:spacing w:after="0" w:before="0" w:line="259"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9">
      <w:pPr>
        <w:pStyle w:val="Heading4"/>
        <w:spacing w:after="0" w:before="0" w:lineRule="auto"/>
        <w:ind w:firstLine="72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Scientific American, 2004 год: интернет вещей в быту</w:t>
      </w:r>
    </w:p>
    <w:p w:rsidR="00000000" w:rsidDel="00000000" w:rsidP="00000000" w:rsidRDefault="00000000" w:rsidRPr="00000000" w14:paraId="0000001A">
      <w:pPr>
        <w:spacing w:after="0" w:before="0" w:line="259"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Следующий важный шаг в истории концепции связан с популярной научной прессой. В 2004 году в журнале Scientific American была опубликована обзорная статья, посвящённая интернету вещей. Авторы показали, что идеи Auto-ID применимы не только к складскому учёту, но и к повседневной жизни человека.</w:t>
        <w:br w:type="textWrapping"/>
        <w:tab/>
        <w:t xml:space="preserve">В статье приводились простые и запоминающиеся примеры. Будильник, который связан с кофеваркой и заранее подаёт ей сигнал, чтобы к пробуждению хозяина кофе был готов. «Умный» холодильник, следящий за сроками годности продуктов и формирующий список покупок. Осветительные приборы, автоматически регулирующие яркость в зависимости от времени суток и присутствия людей в помещении.</w:t>
        <w:br w:type="textWrapping"/>
        <w:tab/>
        <w:t xml:space="preserve">Эти примеры сделали концепцию интернета вещей понятной широкой аудитории. Если раньше она воспринималась как специализированная технология для логистики и промышленности, то после публикации в Scientific American интернет вещей стал ассоциироваться с «умным домом», бытовой автоматизацией и удобными сервисами для обычного пользователя.</w:t>
      </w:r>
    </w:p>
    <w:p w:rsidR="00000000" w:rsidDel="00000000" w:rsidP="00000000" w:rsidRDefault="00000000" w:rsidRPr="00000000" w14:paraId="0000001B">
      <w:pPr>
        <w:spacing w:after="0" w:before="0" w:line="259"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C">
      <w:pPr>
        <w:pStyle w:val="Heading4"/>
        <w:spacing w:after="0" w:before="0" w:lineRule="auto"/>
        <w:ind w:firstLine="72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Отчёт Национального разведывательного совета США (2008 год)</w:t>
      </w:r>
    </w:p>
    <w:p w:rsidR="00000000" w:rsidDel="00000000" w:rsidP="00000000" w:rsidRDefault="00000000" w:rsidRPr="00000000" w14:paraId="0000001D">
      <w:pPr>
        <w:spacing w:after="0" w:before="0" w:line="259"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отчёте Национального разведывательного совета США 2008 года интернет вещей фигурирует как одна из шести подрывных технологий (Disruptive Technologies). Документ указывает: повсеместное и незаметное для потребителей превращение в интернет-узлы распространённых вещей (товарная упаковка, мебель, бумажные документы) может заметно повысить риски в сфере национальной информационной безопасности. Объяснение: если каждая упаковка, каждый документ, каждый предмет мебели становится интернет-устройством, которое собирает и передаёт данные, злоумышленники получают огромное количество точек для атаки. Можно перехватывать данные, подслушивать разговоры через умные колонки, отслеживать передвижения людей через их смартфоны и носимые устройства. Поэтому интернет вещей — не только возможности, но и угрозы.</w:t>
      </w:r>
    </w:p>
    <w:p w:rsidR="00000000" w:rsidDel="00000000" w:rsidP="00000000" w:rsidRDefault="00000000" w:rsidRPr="00000000" w14:paraId="0000001E">
      <w:pPr>
        <w:pStyle w:val="Heading4"/>
        <w:spacing w:after="0" w:before="0" w:lineRule="auto"/>
        <w:ind w:firstLine="72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2008–2009 годы: рождение интернета вещей</w:t>
      </w:r>
    </w:p>
    <w:p w:rsidR="00000000" w:rsidDel="00000000" w:rsidP="00000000" w:rsidRDefault="00000000" w:rsidRPr="00000000" w14:paraId="0000001F">
      <w:pPr>
        <w:spacing w:after="0" w:before="0" w:line="259"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Крупные телекоммуникационные компании и аналитические центры стали публиковать количественные оценки развития IoT. По данным корпорации Cisco, приблизительно в 2008–2009 годах число устройств, подключённых к сети, сравнялось, а затем превысило численность населения Земли.</w:t>
        <w:br w:type="textWrapping"/>
        <w:tab/>
        <w:t xml:space="preserve">В эти оценки включались не только компьютеры и телефоны, но и самые разные устройства: банкоматы, платёжные терминалы, датчики сигнализации, промышленное оборудование, бытовая техника. Этот момент часто называют символическим «рождением интернета вещей» как глобального явления: от интернета людей мир переходит к интернету людей и вещей.</w:t>
        <w:br w:type="textWrapping"/>
        <w:t xml:space="preserve">Параллельно компании Ericsson и другие аналитические агентства начали строить долгосрочные прогнозы. Ожидалось, что к 2020–2021 году количество подключённых устройств достигнет десятков миллиардов, а рынок решений на базе IoT станет одним из наиболее быстрорастущих сегментов ИКТ-отрасли.</w:t>
      </w:r>
    </w:p>
    <w:p w:rsidR="00000000" w:rsidDel="00000000" w:rsidP="00000000" w:rsidRDefault="00000000" w:rsidRPr="00000000" w14:paraId="00000020">
      <w:pPr>
        <w:spacing w:after="0" w:before="0" w:line="259"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1">
      <w:pPr>
        <w:pStyle w:val="Heading4"/>
        <w:spacing w:after="0" w:before="0" w:lineRule="auto"/>
        <w:ind w:firstLine="72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Конференция Internet of Things в Брюсселе (с 2009 года)</w:t>
      </w:r>
    </w:p>
    <w:p w:rsidR="00000000" w:rsidDel="00000000" w:rsidP="00000000" w:rsidRDefault="00000000" w:rsidRPr="00000000" w14:paraId="00000022">
      <w:pPr>
        <w:spacing w:after="0" w:before="0" w:line="259"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 2009 года при поддержке Еврокомиссии в Брюсселе ежегодно проводятся конференции Internet of Things. На этих форумах встречаются представители европейских органов власти, исследовательских институтов, университетов, крупных корпораций и стартапов.</w:t>
        <w:br w:type="textWrapping"/>
        <w:tab/>
        <w:t xml:space="preserve">Конференции выполняют сразу несколько функций. Во-первых, они служат площадкой для обсуждения технических вопросов: стандартов протоколов, архитектуры инфраструктуры, требований к безопасности. Во-вторых, на них затрагиваются правовые аспекты: защита персональных данных, ответственность поставщиков оборудования и операторов платформ, регулирование использования радиочастотного спектра. В-третьих, конференции способствуют формированию профессионального сообщества специалистов по IoT и развитию международных проектов.</w:t>
        <w:br w:type="textWrapping"/>
        <w:t xml:space="preserve">Начиная с конца 2000-х годов интернет вещей выходит за рамки отдельных исследовательских групп и становится объектом системной политики на уровне Евросоюза и других регионов.</w:t>
      </w:r>
    </w:p>
    <w:p w:rsidR="00000000" w:rsidDel="00000000" w:rsidP="00000000" w:rsidRDefault="00000000" w:rsidRPr="00000000" w14:paraId="00000023">
      <w:pPr>
        <w:spacing w:after="0" w:before="0" w:line="259"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4">
      <w:pPr>
        <w:pStyle w:val="Heading4"/>
        <w:spacing w:after="0" w:before="0" w:lineRule="auto"/>
        <w:ind w:firstLine="72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Туманные вычисления (fog computing)</w:t>
      </w:r>
    </w:p>
    <w:p w:rsidR="00000000" w:rsidDel="00000000" w:rsidP="00000000" w:rsidRDefault="00000000" w:rsidRPr="00000000" w14:paraId="00000025">
      <w:pPr>
        <w:spacing w:after="0" w:before="0" w:line="259"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 начала 2010-х интернет вещей стал движущей силой парадигмы туманных вычислений (fog computing). Облачные вычисления (cloud computing) концентрируют данные и вычисления в центрах обработки данных (дата-центрах). Туманные вычисления — противоположная идея: распространить принципы облака от центров обработки к огромному количеству географически распределённых устройств. Датчики, камеры, шлюзы, роутеры — все эти устройства на периферии сети сами обрабатывают данные. Преимущества: снижение задержки (не нужно отправлять данные в облако и ждать ответа), экономия трафика, повышение отказоустойчивости (если центральный сервер упал, устройства на периферии продолжают работать). Туманные вычисления — платформа для интернета вещей.</w:t>
        <w:br w:type="textWrapping"/>
        <w:t xml:space="preserve">Туманные вычисления позволяют:</w:t>
      </w:r>
    </w:p>
    <w:p w:rsidR="00000000" w:rsidDel="00000000" w:rsidP="00000000" w:rsidRDefault="00000000" w:rsidRPr="00000000" w14:paraId="00000026">
      <w:pPr>
        <w:numPr>
          <w:ilvl w:val="0"/>
          <w:numId w:val="1"/>
        </w:numPr>
        <w:spacing w:after="0" w:before="0" w:line="259"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уменьшить задержки при управлении объектами;</w:t>
        <w:br w:type="textWrapping"/>
      </w:r>
    </w:p>
    <w:p w:rsidR="00000000" w:rsidDel="00000000" w:rsidP="00000000" w:rsidRDefault="00000000" w:rsidRPr="00000000" w14:paraId="00000027">
      <w:pPr>
        <w:numPr>
          <w:ilvl w:val="0"/>
          <w:numId w:val="1"/>
        </w:numPr>
        <w:spacing w:after="0" w:before="0" w:line="259"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снизить объём трафика, передаваемого в центральное облако;</w:t>
        <w:br w:type="textWrapping"/>
      </w:r>
    </w:p>
    <w:p w:rsidR="00000000" w:rsidDel="00000000" w:rsidP="00000000" w:rsidRDefault="00000000" w:rsidRPr="00000000" w14:paraId="00000028">
      <w:pPr>
        <w:numPr>
          <w:ilvl w:val="0"/>
          <w:numId w:val="1"/>
        </w:numPr>
        <w:spacing w:after="0" w:before="0" w:line="259"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обеспечить устойчивость системы при временных нарушениях связи;</w:t>
        <w:br w:type="textWrapping"/>
      </w:r>
    </w:p>
    <w:p w:rsidR="00000000" w:rsidDel="00000000" w:rsidP="00000000" w:rsidRDefault="00000000" w:rsidRPr="00000000" w14:paraId="00000029">
      <w:pPr>
        <w:numPr>
          <w:ilvl w:val="0"/>
          <w:numId w:val="1"/>
        </w:numPr>
        <w:spacing w:after="0" w:before="0" w:line="259"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реализовать локальную фильтрацию и агрегацию данных, передавая в центр только существенную информацию.</w:t>
        <w:br w:type="textWrapping"/>
      </w:r>
    </w:p>
    <w:p w:rsidR="00000000" w:rsidDel="00000000" w:rsidP="00000000" w:rsidRDefault="00000000" w:rsidRPr="00000000" w14:paraId="0000002A">
      <w:pPr>
        <w:spacing w:after="0" w:before="0" w:line="259"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совокупности cloud- и fog-вычисления сформировали ту инфраструктурную основу, на которой строятся современные крупномасштабные системы интернета вещей.</w:t>
      </w:r>
    </w:p>
    <w:p w:rsidR="00000000" w:rsidDel="00000000" w:rsidP="00000000" w:rsidRDefault="00000000" w:rsidRPr="00000000" w14:paraId="0000002B">
      <w:pPr>
        <w:spacing w:after="0" w:before="0" w:line="259"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C">
      <w:pPr>
        <w:pStyle w:val="Heading4"/>
        <w:spacing w:after="0" w:before="0" w:lineRule="auto"/>
        <w:ind w:firstLine="72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Технологии идентификации объектов</w:t>
      </w:r>
    </w:p>
    <w:p w:rsidR="00000000" w:rsidDel="00000000" w:rsidP="00000000" w:rsidRDefault="00000000" w:rsidRPr="00000000" w14:paraId="0000002D">
      <w:pPr>
        <w:spacing w:after="0" w:before="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Задействование в интернете вещей предметов физического мира, не обязательно оснащённых средствами подключения к сетям, требует применения технологий идентификации. Хотя толчком стала технология RFID (радиочастотные метки), но в качестве таких технологий используются все средства автоматической идентификации: оптически распознаваемые идентификаторы (штрихкоды, Data Matrix, QR-коды), средства определения местонахождения в реальном времени (RTLS). При всеобъемлющем распространении IoT критично обеспечить уникальность идентификаторов объектов.</w:t>
      </w:r>
    </w:p>
    <w:p w:rsidR="00000000" w:rsidDel="00000000" w:rsidP="00000000" w:rsidRDefault="00000000" w:rsidRPr="00000000" w14:paraId="0000002E">
      <w:pPr>
        <w:spacing w:after="0" w:before="0" w:line="259"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Для объектов, непосредственно подключённых к интернет-сетям, традиционный идентификатор — MAC-адрес сетевого адаптера (позволяет идентифицировать устройство на канальном уровне). Диапазон доступных адресов практически неисчерпаем: 2 в степени 48 адресов (более 280 триллионов). Однако использование идентификатора канального уровня не слишком удобно для приложений. Более широкие возможности по идентификации даёт протокол IPv6, обеспечивающий уникальными адресами сетевого уровня не менее 300 миллионов устройств на одного жителя Земли. IPv6 — основа для масштабного развития интернета вещей.</w:t>
      </w:r>
    </w:p>
    <w:p w:rsidR="00000000" w:rsidDel="00000000" w:rsidP="00000000" w:rsidRDefault="00000000" w:rsidRPr="00000000" w14:paraId="0000002F">
      <w:pPr>
        <w:pStyle w:val="Heading4"/>
        <w:spacing w:after="0" w:before="0" w:lineRule="auto"/>
        <w:ind w:firstLine="72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Средства измерения</w:t>
      </w:r>
    </w:p>
    <w:p w:rsidR="00000000" w:rsidDel="00000000" w:rsidP="00000000" w:rsidRDefault="00000000" w:rsidRPr="00000000" w14:paraId="00000030">
      <w:pPr>
        <w:spacing w:after="0" w:before="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Особую роль в интернете вещей играют средства измерения: они преобразуют сведения о внешней среде в машиночитаемые данные, тем самым наполняют вычислительную среду значимой информацией. Используется класс средств измерения от элементарных датчиков (температуры, давления, освещённости) и приборов учёта потребления (интеллектуальные счётчики) до сложных интегрированных измерительных систем. В рамках концепции принципиально объединение средств измерения в сети (беспроводные датчиковые сети, измерительные комплексы), за счёт чего возможно построение систем межмашинного взаимодействия (M2M — Machine-to-Machine).</w:t>
      </w:r>
    </w:p>
    <w:p w:rsidR="00000000" w:rsidDel="00000000" w:rsidP="00000000" w:rsidRDefault="00000000" w:rsidRPr="00000000" w14:paraId="00000031">
      <w:pPr>
        <w:spacing w:after="0" w:before="0" w:line="259"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Проблема энергоснабжения датчиков: как обеспечить максимальную автономность? Нахождение эффективных решений, обеспечивающих автономное питание сенсоров (фотоэлементы, преобразование энергии вибрации и воздушных потоков, беспроводная передача электричества), позволяет масштабировать сенсорные сети без повышения затрат на обслуживание (не нужно менять батарейки или заряжать аккумуляторы). Решение проблемы питания — ключевой фактор для массового внедрения IoT.</w:t>
      </w:r>
    </w:p>
    <w:p w:rsidR="00000000" w:rsidDel="00000000" w:rsidP="00000000" w:rsidRDefault="00000000" w:rsidRPr="00000000" w14:paraId="00000032">
      <w:pPr>
        <w:pStyle w:val="Heading4"/>
        <w:spacing w:after="0" w:before="0" w:lineRule="auto"/>
        <w:ind w:firstLine="72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Средства передачи данных</w:t>
      </w:r>
    </w:p>
    <w:p w:rsidR="00000000" w:rsidDel="00000000" w:rsidP="00000000" w:rsidRDefault="00000000" w:rsidRPr="00000000" w14:paraId="00000033">
      <w:pPr>
        <w:spacing w:after="0" w:before="0" w:line="259"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Спектр возможных технологий передачи данных охватывает все возможные средства беспроводных и проводных сетей. Для беспроводной передачи особо важны: эффективность в условиях низких скоростей, отказоустойчивость, адаптивность, возможность самоорганизации. Основной интерес представляет стандарт IEEE 802.15.4, определяющий физический слой и управление доступом для организации энергоэффективных персональных сетей. На его основе работают протоколы ZigBee, WirelessHart, MiWi, 6LoWPAN, LPWAN. Среди проводных технологий важную роль играют решения PLC (Power Line Communication) — технологии построения сетей передачи данных по линиям электропередачи. Во многих приложениях есть доступ к электросетям (торговые автоматы, банкоматы, интеллектуальные счётчики, контроллеры освещения изначально подключены к сети электроснабжения), поэтому PLC — удобное решение. Протокол 6LoWPAN, реализующий слой IPv6 как над IEEE 802.15.4, так и над PLC, будучи открытым протоколом, стандартизованным IETF, отмечается как особо важный для развития IoT.</w:t>
      </w:r>
    </w:p>
    <w:p w:rsidR="00000000" w:rsidDel="00000000" w:rsidP="00000000" w:rsidRDefault="00000000" w:rsidRPr="00000000" w14:paraId="00000034">
      <w:pPr>
        <w:pStyle w:val="Heading4"/>
        <w:spacing w:after="0" w:before="0" w:lineRule="auto"/>
        <w:ind w:firstLine="72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Прогнозы развития и инвестиции</w:t>
      </w:r>
    </w:p>
    <w:p w:rsidR="00000000" w:rsidDel="00000000" w:rsidP="00000000" w:rsidRDefault="00000000" w:rsidRPr="00000000" w14:paraId="00000035">
      <w:pPr>
        <w:spacing w:after="0" w:before="0" w:line="259"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По оценкам компании Ericsson, в 2018 году число датчиков и устройств IoT превысило количество мобильных телефонов. Совокупный среднегодовой темп роста данного сегмента в период с 2015 по 2021 год ожидался на уровне 23 процентов. К 2021 году прогнозировалось, что из приблизительно 28 миллиардов подключённых устройств по всему миру около 16 миллиардов будут так или иначе связаны в рамках концепции интернета вещей. По данным IDC (International Data Corporation), общий мировой объём капиталовложений в направления, связанные с интернетом вещей, в 2016 году составил 737 миллиардов долларов, в 2017 — более 800 миллиардов долларов; к 2021 году прогнозировались инвестиции порядка 1,4 триллиона долларов. Это колоссальные цифры, показывающие, что интернет вещей — не модная фраза, а реальная технология с огромным экономическим потенциалом.</w:t>
      </w:r>
    </w:p>
    <w:p w:rsidR="00000000" w:rsidDel="00000000" w:rsidP="00000000" w:rsidRDefault="00000000" w:rsidRPr="00000000" w14:paraId="00000036">
      <w:pPr>
        <w:pStyle w:val="Heading3"/>
        <w:spacing w:after="0" w:before="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5. Контрольные вопросы</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i w:val="0"/>
          <w:iCs w:val="0"/>
          <w:smallCaps w:val="0"/>
          <w:strike w:val="0"/>
          <w:sz w:val="24"/>
          <w:szCs w:val="24"/>
          <w:highlight w:val="white"/>
          <w:vertAlign w:val="baseline"/>
        </w:rPr>
      </w:pPr>
      <w:r w:rsidDel="00000000" w:rsidR="00000000" w:rsidRPr="00000000">
        <w:rPr>
          <w:rFonts w:ascii="Times New Roman" w:cs="Times New Roman" w:eastAsia="Times New Roman" w:hAnsi="Times New Roman"/>
          <w:i w:val="0"/>
          <w:iCs w:val="0"/>
          <w:smallCaps w:val="0"/>
          <w:strike w:val="0"/>
          <w:sz w:val="24"/>
          <w:szCs w:val="24"/>
          <w:highlight w:val="white"/>
          <w:u w:val="none"/>
          <w:vertAlign w:val="baseline"/>
          <w:rtl w:val="0"/>
        </w:rPr>
        <w:t xml:space="preserve">Кто впервые сформулировал концепцию и термин «интернет вещей»? В каком году и для какой компании?</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i w:val="0"/>
          <w:iCs w:val="0"/>
          <w:smallCaps w:val="0"/>
          <w:strike w:val="0"/>
          <w:sz w:val="24"/>
          <w:szCs w:val="24"/>
          <w:highlight w:val="white"/>
          <w:vertAlign w:val="baseline"/>
        </w:rPr>
      </w:pPr>
      <w:r w:rsidDel="00000000" w:rsidR="00000000" w:rsidRPr="00000000">
        <w:rPr>
          <w:rFonts w:ascii="Times New Roman" w:cs="Times New Roman" w:eastAsia="Times New Roman" w:hAnsi="Times New Roman"/>
          <w:i w:val="0"/>
          <w:iCs w:val="0"/>
          <w:smallCaps w:val="0"/>
          <w:strike w:val="0"/>
          <w:sz w:val="24"/>
          <w:szCs w:val="24"/>
          <w:highlight w:val="white"/>
          <w:u w:val="none"/>
          <w:vertAlign w:val="baseline"/>
          <w:rtl w:val="0"/>
        </w:rPr>
        <w:t xml:space="preserve">Какая публикация 2004 года наглядно показала возможности IoT в бытовом применении? Приведите примеры из статьи.</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i w:val="0"/>
          <w:iCs w:val="0"/>
          <w:smallCaps w:val="0"/>
          <w:strike w:val="0"/>
          <w:sz w:val="24"/>
          <w:szCs w:val="24"/>
          <w:highlight w:val="white"/>
          <w:vertAlign w:val="baseline"/>
        </w:rPr>
      </w:pPr>
      <w:r w:rsidDel="00000000" w:rsidR="00000000" w:rsidRPr="00000000">
        <w:rPr>
          <w:rFonts w:ascii="Times New Roman" w:cs="Times New Roman" w:eastAsia="Times New Roman" w:hAnsi="Times New Roman"/>
          <w:i w:val="0"/>
          <w:iCs w:val="0"/>
          <w:smallCaps w:val="0"/>
          <w:strike w:val="0"/>
          <w:sz w:val="24"/>
          <w:szCs w:val="24"/>
          <w:highlight w:val="white"/>
          <w:u w:val="none"/>
          <w:vertAlign w:val="baseline"/>
          <w:rtl w:val="0"/>
        </w:rPr>
        <w:t xml:space="preserve">Почему отчёт Национального разведывательного совета США 2008 года назвал IoT подрывной технологией? Какие риски указаны?</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i w:val="0"/>
          <w:iCs w:val="0"/>
          <w:smallCaps w:val="0"/>
          <w:strike w:val="0"/>
          <w:sz w:val="24"/>
          <w:szCs w:val="24"/>
          <w:highlight w:val="white"/>
          <w:vertAlign w:val="baseline"/>
        </w:rPr>
      </w:pPr>
      <w:r w:rsidDel="00000000" w:rsidR="00000000" w:rsidRPr="00000000">
        <w:rPr>
          <w:rFonts w:ascii="Times New Roman" w:cs="Times New Roman" w:eastAsia="Times New Roman" w:hAnsi="Times New Roman"/>
          <w:i w:val="0"/>
          <w:iCs w:val="0"/>
          <w:smallCaps w:val="0"/>
          <w:strike w:val="0"/>
          <w:sz w:val="24"/>
          <w:szCs w:val="24"/>
          <w:highlight w:val="white"/>
          <w:u w:val="none"/>
          <w:vertAlign w:val="baseline"/>
          <w:rtl w:val="0"/>
        </w:rPr>
        <w:t xml:space="preserve">Что произошло в период 2008–2009 годов, почему аналитики Cisco считают это рождением интернета вещей?</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i w:val="0"/>
          <w:iCs w:val="0"/>
          <w:smallCaps w:val="0"/>
          <w:strike w:val="0"/>
          <w:sz w:val="24"/>
          <w:szCs w:val="24"/>
          <w:highlight w:val="white"/>
          <w:vertAlign w:val="baseline"/>
        </w:rPr>
      </w:pPr>
      <w:r w:rsidDel="00000000" w:rsidR="00000000" w:rsidRPr="00000000">
        <w:rPr>
          <w:rFonts w:ascii="Times New Roman" w:cs="Times New Roman" w:eastAsia="Times New Roman" w:hAnsi="Times New Roman"/>
          <w:i w:val="0"/>
          <w:iCs w:val="0"/>
          <w:smallCaps w:val="0"/>
          <w:strike w:val="0"/>
          <w:sz w:val="24"/>
          <w:szCs w:val="24"/>
          <w:highlight w:val="white"/>
          <w:u w:val="none"/>
          <w:vertAlign w:val="baseline"/>
          <w:rtl w:val="0"/>
        </w:rPr>
        <w:t xml:space="preserve">Что такое туманные вычисления (fog computing) и как они связаны с интернетом вещей?</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i w:val="0"/>
          <w:iCs w:val="0"/>
          <w:smallCaps w:val="0"/>
          <w:strike w:val="0"/>
          <w:sz w:val="24"/>
          <w:szCs w:val="24"/>
          <w:highlight w:val="white"/>
          <w:vertAlign w:val="baseline"/>
        </w:rPr>
      </w:pPr>
      <w:r w:rsidDel="00000000" w:rsidR="00000000" w:rsidRPr="00000000">
        <w:rPr>
          <w:rFonts w:ascii="Times New Roman" w:cs="Times New Roman" w:eastAsia="Times New Roman" w:hAnsi="Times New Roman"/>
          <w:i w:val="0"/>
          <w:iCs w:val="0"/>
          <w:smallCaps w:val="0"/>
          <w:strike w:val="0"/>
          <w:sz w:val="24"/>
          <w:szCs w:val="24"/>
          <w:highlight w:val="white"/>
          <w:u w:val="none"/>
          <w:vertAlign w:val="baseline"/>
          <w:rtl w:val="0"/>
        </w:rPr>
        <w:t xml:space="preserve">Какие технологии идентификации объектов используются в IoT? Почему IPv6 важен?</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i w:val="0"/>
          <w:iCs w:val="0"/>
          <w:smallCaps w:val="0"/>
          <w:strike w:val="0"/>
          <w:sz w:val="24"/>
          <w:szCs w:val="24"/>
          <w:highlight w:val="white"/>
          <w:vertAlign w:val="baseline"/>
        </w:rPr>
      </w:pPr>
      <w:r w:rsidDel="00000000" w:rsidR="00000000" w:rsidRPr="00000000">
        <w:rPr>
          <w:rFonts w:ascii="Times New Roman" w:cs="Times New Roman" w:eastAsia="Times New Roman" w:hAnsi="Times New Roman"/>
          <w:i w:val="0"/>
          <w:iCs w:val="0"/>
          <w:smallCaps w:val="0"/>
          <w:strike w:val="0"/>
          <w:sz w:val="24"/>
          <w:szCs w:val="24"/>
          <w:highlight w:val="white"/>
          <w:u w:val="none"/>
          <w:vertAlign w:val="baseline"/>
          <w:rtl w:val="0"/>
        </w:rPr>
        <w:t xml:space="preserve">Какие средства измерения применяются в IoT? В чём проблема энергоснабжения датчиков?</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i w:val="0"/>
          <w:iCs w:val="0"/>
          <w:smallCaps w:val="0"/>
          <w:strike w:val="0"/>
          <w:sz w:val="24"/>
          <w:szCs w:val="24"/>
          <w:highlight w:val="white"/>
          <w:vertAlign w:val="baseline"/>
        </w:rPr>
      </w:pPr>
      <w:r w:rsidDel="00000000" w:rsidR="00000000" w:rsidRPr="00000000">
        <w:rPr>
          <w:rFonts w:ascii="Times New Roman" w:cs="Times New Roman" w:eastAsia="Times New Roman" w:hAnsi="Times New Roman"/>
          <w:i w:val="0"/>
          <w:iCs w:val="0"/>
          <w:smallCaps w:val="0"/>
          <w:strike w:val="0"/>
          <w:sz w:val="24"/>
          <w:szCs w:val="24"/>
          <w:highlight w:val="white"/>
          <w:u w:val="none"/>
          <w:vertAlign w:val="baseline"/>
          <w:rtl w:val="0"/>
        </w:rPr>
        <w:t xml:space="preserve">Назовите основные беспроводные и проводные технологии передачи данных в IoT.</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i w:val="0"/>
          <w:iCs w:val="0"/>
          <w:smallCaps w:val="0"/>
          <w:strike w:val="0"/>
          <w:sz w:val="24"/>
          <w:szCs w:val="24"/>
          <w:highlight w:val="white"/>
          <w:vertAlign w:val="baseline"/>
        </w:rPr>
      </w:pPr>
      <w:r w:rsidDel="00000000" w:rsidR="00000000" w:rsidRPr="00000000">
        <w:rPr>
          <w:rFonts w:ascii="Times New Roman" w:cs="Times New Roman" w:eastAsia="Times New Roman" w:hAnsi="Times New Roman"/>
          <w:i w:val="0"/>
          <w:iCs w:val="0"/>
          <w:smallCaps w:val="0"/>
          <w:strike w:val="0"/>
          <w:sz w:val="24"/>
          <w:szCs w:val="24"/>
          <w:highlight w:val="white"/>
          <w:u w:val="none"/>
          <w:vertAlign w:val="baseline"/>
          <w:rtl w:val="0"/>
        </w:rPr>
        <w:t xml:space="preserve">Каковы прогнозы развития IoT по количеству устройств и объёму инвестиций к 2021 году?</w:t>
      </w:r>
    </w:p>
    <w:p w:rsidR="00000000" w:rsidDel="00000000" w:rsidP="00000000" w:rsidRDefault="00000000" w:rsidRPr="00000000" w14:paraId="00000040">
      <w:pPr>
        <w:spacing w:after="0" w:before="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1">
      <w:pPr>
        <w:pStyle w:val="Heading3"/>
        <w:spacing w:after="0" w:before="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6. Список литературы</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highlight w:val="white"/>
          <w:vertAlign w:val="baseline"/>
        </w:rPr>
      </w:pPr>
      <w:r w:rsidDel="00000000" w:rsidR="00000000" w:rsidRPr="00000000">
        <w:rPr>
          <w:rFonts w:ascii="Times New Roman" w:cs="Times New Roman" w:eastAsia="Times New Roman" w:hAnsi="Times New Roman"/>
          <w:i w:val="0"/>
          <w:iCs w:val="0"/>
          <w:smallCaps w:val="0"/>
          <w:strike w:val="0"/>
          <w:sz w:val="24"/>
          <w:szCs w:val="24"/>
          <w:highlight w:val="white"/>
          <w:u w:val="none"/>
          <w:vertAlign w:val="baseline"/>
          <w:rtl w:val="0"/>
        </w:rPr>
        <w:t xml:space="preserve">Kevin Ashton. That "Internet of Things" Thing. RFID Journal, June 22, 2009.</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highlight w:val="white"/>
          <w:vertAlign w:val="baseline"/>
        </w:rPr>
      </w:pPr>
      <w:r w:rsidDel="00000000" w:rsidR="00000000" w:rsidRPr="00000000">
        <w:rPr>
          <w:rFonts w:ascii="Times New Roman" w:cs="Times New Roman" w:eastAsia="Times New Roman" w:hAnsi="Times New Roman"/>
          <w:i w:val="0"/>
          <w:iCs w:val="0"/>
          <w:smallCaps w:val="0"/>
          <w:strike w:val="0"/>
          <w:sz w:val="24"/>
          <w:szCs w:val="24"/>
          <w:highlight w:val="white"/>
          <w:u w:val="none"/>
          <w:vertAlign w:val="baseline"/>
          <w:rtl w:val="0"/>
        </w:rPr>
        <w:t xml:space="preserve">Черняк Л. Платформа Интернета вещей. Открытые системы. СУБД, №7, 2012.</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highlight w:val="white"/>
          <w:vertAlign w:val="baseline"/>
        </w:rPr>
      </w:pPr>
      <w:r w:rsidDel="00000000" w:rsidR="00000000" w:rsidRPr="00000000">
        <w:rPr>
          <w:rFonts w:ascii="Times New Roman" w:cs="Times New Roman" w:eastAsia="Times New Roman" w:hAnsi="Times New Roman"/>
          <w:i w:val="0"/>
          <w:iCs w:val="0"/>
          <w:smallCaps w:val="0"/>
          <w:strike w:val="0"/>
          <w:sz w:val="24"/>
          <w:szCs w:val="24"/>
          <w:highlight w:val="white"/>
          <w:u w:val="none"/>
          <w:vertAlign w:val="baseline"/>
          <w:rtl w:val="0"/>
        </w:rPr>
        <w:t xml:space="preserve">Rob van Kranenburg. The Internet of Things: A critique of ambient technology and the all-seeing network of RFID. Telstar Media, 2008.</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highlight w:val="white"/>
          <w:vertAlign w:val="baseline"/>
        </w:rPr>
      </w:pPr>
      <w:r w:rsidDel="00000000" w:rsidR="00000000" w:rsidRPr="00000000">
        <w:rPr>
          <w:rFonts w:ascii="Times New Roman" w:cs="Times New Roman" w:eastAsia="Times New Roman" w:hAnsi="Times New Roman"/>
          <w:i w:val="0"/>
          <w:iCs w:val="0"/>
          <w:smallCaps w:val="0"/>
          <w:strike w:val="0"/>
          <w:sz w:val="24"/>
          <w:szCs w:val="24"/>
          <w:highlight w:val="white"/>
          <w:u w:val="none"/>
          <w:vertAlign w:val="baseline"/>
          <w:rtl w:val="0"/>
        </w:rPr>
        <w:t xml:space="preserve">Final Report: RFID and the Inclusive Model for the Internet of Things. Casagras Research, November 18, 2009.</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highlight w:val="white"/>
          <w:vertAlign w:val="baseline"/>
        </w:rPr>
      </w:pPr>
      <w:r w:rsidDel="00000000" w:rsidR="00000000" w:rsidRPr="00000000">
        <w:rPr>
          <w:rFonts w:ascii="Times New Roman" w:cs="Times New Roman" w:eastAsia="Times New Roman" w:hAnsi="Times New Roman"/>
          <w:i w:val="0"/>
          <w:iCs w:val="0"/>
          <w:smallCaps w:val="0"/>
          <w:strike w:val="0"/>
          <w:sz w:val="24"/>
          <w:szCs w:val="24"/>
          <w:highlight w:val="white"/>
          <w:u w:val="none"/>
          <w:vertAlign w:val="baseline"/>
          <w:rtl w:val="0"/>
        </w:rPr>
        <w:t xml:space="preserve">Disruptive Civil Technologies. Six Technologies with Potential Impacts on US Interests out to 2025. National Intelligence Council, April 11, 2008.</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highlight w:val="white"/>
          <w:vertAlign w:val="baseline"/>
        </w:rPr>
      </w:pPr>
      <w:r w:rsidDel="00000000" w:rsidR="00000000" w:rsidRPr="00000000">
        <w:rPr>
          <w:rFonts w:ascii="Times New Roman" w:cs="Times New Roman" w:eastAsia="Times New Roman" w:hAnsi="Times New Roman"/>
          <w:i w:val="0"/>
          <w:iCs w:val="0"/>
          <w:smallCaps w:val="0"/>
          <w:strike w:val="0"/>
          <w:sz w:val="24"/>
          <w:szCs w:val="24"/>
          <w:highlight w:val="white"/>
          <w:u w:val="none"/>
          <w:vertAlign w:val="baseline"/>
          <w:rtl w:val="0"/>
        </w:rPr>
        <w:t xml:space="preserve">Olivier Hersent, David Boswarthick, Omar Elloumi. The Internet of Things: Key Applications and Protocols. Willey, 2012.</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i w:val="0"/>
          <w:iCs w:val="0"/>
          <w:smallCaps w:val="0"/>
          <w:strike w:val="0"/>
          <w:sz w:val="24"/>
          <w:szCs w:val="24"/>
          <w:highlight w:val="white"/>
          <w:vertAlign w:val="baseline"/>
        </w:rPr>
      </w:pPr>
      <w:r w:rsidDel="00000000" w:rsidR="00000000" w:rsidRPr="00000000">
        <w:rPr>
          <w:rFonts w:ascii="Times New Roman" w:cs="Times New Roman" w:eastAsia="Times New Roman" w:hAnsi="Times New Roman"/>
          <w:i w:val="0"/>
          <w:iCs w:val="0"/>
          <w:smallCaps w:val="0"/>
          <w:strike w:val="0"/>
          <w:sz w:val="24"/>
          <w:szCs w:val="24"/>
          <w:highlight w:val="white"/>
          <w:u w:val="none"/>
          <w:vertAlign w:val="baseline"/>
          <w:rtl w:val="0"/>
        </w:rPr>
        <w:t xml:space="preserve">Tracxn Internet of Things Infrastructure Startup Landscape, 2014.</w:t>
      </w:r>
    </w:p>
    <w:sectPr>
      <w:pgSz w:h="15840" w:w="12240" w:orient="portrait"/>
      <w:pgMar w:bottom="1008" w:top="1008" w:left="1368" w:right="136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720" w:hanging="360"/>
      </w:pPr>
      <w:rPr>
        <w:b w:val="0"/>
        <w:bCs w:val="0"/>
        <w:i w:val="0"/>
        <w:iCs w:val="0"/>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7">
    <w:name w:val="heading 7"/>
    <w:basedOn w:val="a1"/>
    <w:next w:val="a1"/>
    <w:link w:val="70"/>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8">
    <w:name w:val="heading 8"/>
    <w:basedOn w:val="a1"/>
    <w:next w:val="a1"/>
    <w:link w:val="80"/>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9">
    <w:name w:val="heading 9"/>
    <w:basedOn w:val="a1"/>
    <w:next w:val="a1"/>
    <w:link w:val="90"/>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a2" w:default="1">
    <w:name w:val="Default Paragraph Font"/>
    <w:uiPriority w:val="1"/>
    <w:semiHidden w:val="1"/>
    <w:unhideWhenUsed w:val="1"/>
  </w:style>
  <w:style w:type="table" w:styleId="a3" w:default="1">
    <w:name w:val="Normal Table"/>
    <w:uiPriority w:val="99"/>
    <w:semiHidden w:val="1"/>
    <w:unhideWhenUsed w:val="1"/>
    <w:tblPr>
      <w:tblInd w:w="0.0" w:type="dxa"/>
      <w:tblCellMar>
        <w:top w:w="0.0" w:type="dxa"/>
        <w:left w:w="108.0" w:type="dxa"/>
        <w:bottom w:w="0.0" w:type="dxa"/>
        <w:right w:w="108.0" w:type="dxa"/>
      </w:tblCellMar>
    </w:tblPr>
  </w:style>
  <w:style w:type="numbering" w:styleId="a4" w:default="1">
    <w:name w:val="No List"/>
    <w:uiPriority w:val="99"/>
    <w:semiHidden w:val="1"/>
    <w:unhideWhenUsed w:val="1"/>
  </w:style>
  <w:style w:type="paragraph" w:styleId="a5">
    <w:name w:val="header"/>
    <w:basedOn w:val="a1"/>
    <w:link w:val="a6"/>
    <w:uiPriority w:val="99"/>
    <w:unhideWhenUsed w:val="1"/>
    <w:rsid w:val="00E618BF"/>
    <w:pPr>
      <w:tabs>
        <w:tab w:val="center" w:pos="4680"/>
        <w:tab w:val="right" w:pos="9360"/>
      </w:tabs>
      <w:spacing w:after="0" w:line="240" w:lineRule="auto"/>
    </w:pPr>
  </w:style>
  <w:style w:type="character" w:styleId="a6" w:customStyle="1">
    <w:name w:val="Верхний колонтитул Знак"/>
    <w:basedOn w:val="a2"/>
    <w:link w:val="a5"/>
    <w:uiPriority w:val="99"/>
    <w:rsid w:val="00E618BF"/>
  </w:style>
  <w:style w:type="paragraph" w:styleId="a7">
    <w:name w:val="footer"/>
    <w:basedOn w:val="a1"/>
    <w:link w:val="a8"/>
    <w:uiPriority w:val="99"/>
    <w:unhideWhenUsed w:val="1"/>
    <w:rsid w:val="00E618BF"/>
    <w:pPr>
      <w:tabs>
        <w:tab w:val="center" w:pos="4680"/>
        <w:tab w:val="right" w:pos="9360"/>
      </w:tabs>
      <w:spacing w:after="0" w:line="240" w:lineRule="auto"/>
    </w:pPr>
  </w:style>
  <w:style w:type="character" w:styleId="a8" w:customStyle="1">
    <w:name w:val="Нижний колонтитул Знак"/>
    <w:basedOn w:val="a2"/>
    <w:link w:val="a7"/>
    <w:uiPriority w:val="99"/>
    <w:rsid w:val="00E618BF"/>
  </w:style>
  <w:style w:type="paragraph" w:styleId="a9">
    <w:name w:val="No Spacing"/>
    <w:uiPriority w:val="1"/>
    <w:qFormat w:val="1"/>
    <w:rsid w:val="00FC693F"/>
    <w:pPr>
      <w:spacing w:after="0" w:line="240" w:lineRule="auto"/>
    </w:pPr>
  </w:style>
  <w:style w:type="character" w:styleId="10" w:customStyle="1">
    <w:name w:val="Заголовок 1 Знак"/>
    <w:basedOn w:val="a2"/>
    <w:link w:val="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22" w:customStyle="1">
    <w:name w:val="Заголовок 2 Знак"/>
    <w:basedOn w:val="a2"/>
    <w:link w:val="21"/>
    <w:uiPriority w:val="9"/>
    <w:rsid w:val="00FC693F"/>
    <w:rPr>
      <w:rFonts w:asciiTheme="majorHAnsi" w:cstheme="majorBidi" w:eastAsiaTheme="majorEastAsia" w:hAnsiTheme="majorHAnsi"/>
      <w:b w:val="1"/>
      <w:bCs w:val="1"/>
      <w:color w:val="4f81bd" w:themeColor="accent1"/>
      <w:sz w:val="26"/>
      <w:szCs w:val="26"/>
    </w:rPr>
  </w:style>
  <w:style w:type="character" w:styleId="32" w:customStyle="1">
    <w:name w:val="Заголовок 3 Знак"/>
    <w:basedOn w:val="a2"/>
    <w:link w:val="31"/>
    <w:uiPriority w:val="9"/>
    <w:rsid w:val="00FC693F"/>
    <w:rPr>
      <w:rFonts w:asciiTheme="majorHAnsi" w:cstheme="majorBidi" w:eastAsiaTheme="majorEastAsia" w:hAnsiTheme="majorHAnsi"/>
      <w:b w:val="1"/>
      <w:bCs w:val="1"/>
      <w:color w:val="4f81bd" w:themeColor="accent1"/>
    </w:rPr>
  </w:style>
  <w:style w:type="character" w:styleId="ab" w:customStyle="1">
    <w:name w:val="Заголовок Знак"/>
    <w:basedOn w:val="a2"/>
    <w:link w:val="aa"/>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ad" w:customStyle="1">
    <w:name w:val="Подзаголовок Знак"/>
    <w:basedOn w:val="a2"/>
    <w:link w:val="ac"/>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ae">
    <w:name w:val="List Paragraph"/>
    <w:basedOn w:val="a1"/>
    <w:uiPriority w:val="34"/>
    <w:qFormat w:val="1"/>
    <w:rsid w:val="00FC693F"/>
    <w:pPr>
      <w:ind w:left="720"/>
      <w:contextualSpacing w:val="1"/>
    </w:pPr>
  </w:style>
  <w:style w:type="paragraph" w:styleId="af">
    <w:name w:val="Body Text"/>
    <w:basedOn w:val="a1"/>
    <w:link w:val="af0"/>
    <w:uiPriority w:val="99"/>
    <w:unhideWhenUsed w:val="1"/>
    <w:rsid w:val="00AA1D8D"/>
    <w:pPr>
      <w:spacing w:after="120"/>
    </w:pPr>
  </w:style>
  <w:style w:type="character" w:styleId="af0" w:customStyle="1">
    <w:name w:val="Основной текст Знак"/>
    <w:basedOn w:val="a2"/>
    <w:link w:val="af"/>
    <w:uiPriority w:val="99"/>
    <w:rsid w:val="00AA1D8D"/>
  </w:style>
  <w:style w:type="paragraph" w:styleId="23">
    <w:name w:val="Body Text 2"/>
    <w:basedOn w:val="a1"/>
    <w:link w:val="24"/>
    <w:uiPriority w:val="99"/>
    <w:unhideWhenUsed w:val="1"/>
    <w:rsid w:val="00AA1D8D"/>
    <w:pPr>
      <w:spacing w:after="120" w:line="480" w:lineRule="auto"/>
    </w:pPr>
  </w:style>
  <w:style w:type="character" w:styleId="24" w:customStyle="1">
    <w:name w:val="Основной текст 2 Знак"/>
    <w:basedOn w:val="a2"/>
    <w:link w:val="23"/>
    <w:uiPriority w:val="99"/>
    <w:rsid w:val="00AA1D8D"/>
  </w:style>
  <w:style w:type="paragraph" w:styleId="33">
    <w:name w:val="Body Text 3"/>
    <w:basedOn w:val="a1"/>
    <w:link w:val="34"/>
    <w:uiPriority w:val="99"/>
    <w:unhideWhenUsed w:val="1"/>
    <w:rsid w:val="00AA1D8D"/>
    <w:pPr>
      <w:spacing w:after="120"/>
    </w:pPr>
    <w:rPr>
      <w:sz w:val="16"/>
      <w:szCs w:val="16"/>
    </w:rPr>
  </w:style>
  <w:style w:type="character" w:styleId="34" w:customStyle="1">
    <w:name w:val="Основной текст 3 Знак"/>
    <w:basedOn w:val="a2"/>
    <w:link w:val="33"/>
    <w:uiPriority w:val="99"/>
    <w:rsid w:val="00AA1D8D"/>
    <w:rPr>
      <w:sz w:val="16"/>
      <w:szCs w:val="16"/>
    </w:rPr>
  </w:style>
  <w:style w:type="paragraph" w:styleId="af1">
    <w:name w:val="List"/>
    <w:basedOn w:val="a1"/>
    <w:uiPriority w:val="99"/>
    <w:unhideWhenUsed w:val="1"/>
    <w:rsid w:val="00AA1D8D"/>
    <w:pPr>
      <w:ind w:left="360" w:hanging="360"/>
      <w:contextualSpacing w:val="1"/>
    </w:pPr>
  </w:style>
  <w:style w:type="paragraph" w:styleId="25">
    <w:name w:val="List 2"/>
    <w:basedOn w:val="a1"/>
    <w:uiPriority w:val="99"/>
    <w:unhideWhenUsed w:val="1"/>
    <w:rsid w:val="00326F90"/>
    <w:pPr>
      <w:ind w:left="720" w:hanging="360"/>
      <w:contextualSpacing w:val="1"/>
    </w:pPr>
  </w:style>
  <w:style w:type="paragraph" w:styleId="35">
    <w:name w:val="List 3"/>
    <w:basedOn w:val="a1"/>
    <w:uiPriority w:val="99"/>
    <w:unhideWhenUsed w:val="1"/>
    <w:rsid w:val="00326F90"/>
    <w:pPr>
      <w:ind w:left="1080" w:hanging="360"/>
      <w:contextualSpacing w:val="1"/>
    </w:pPr>
  </w:style>
  <w:style w:type="paragraph" w:styleId="a0">
    <w:name w:val="List Bullet"/>
    <w:basedOn w:val="a1"/>
    <w:uiPriority w:val="99"/>
    <w:unhideWhenUsed w:val="1"/>
    <w:rsid w:val="00326F90"/>
    <w:pPr>
      <w:numPr>
        <w:numId w:val="1"/>
      </w:numPr>
      <w:contextualSpacing w:val="1"/>
    </w:pPr>
  </w:style>
  <w:style w:type="paragraph" w:styleId="20">
    <w:name w:val="List Bullet 2"/>
    <w:basedOn w:val="a1"/>
    <w:uiPriority w:val="99"/>
    <w:unhideWhenUsed w:val="1"/>
    <w:rsid w:val="00326F90"/>
    <w:pPr>
      <w:numPr>
        <w:numId w:val="2"/>
      </w:numPr>
      <w:contextualSpacing w:val="1"/>
    </w:pPr>
  </w:style>
  <w:style w:type="paragraph" w:styleId="30">
    <w:name w:val="List Bullet 3"/>
    <w:basedOn w:val="a1"/>
    <w:uiPriority w:val="99"/>
    <w:unhideWhenUsed w:val="1"/>
    <w:rsid w:val="00326F90"/>
    <w:pPr>
      <w:numPr>
        <w:numId w:val="3"/>
      </w:numPr>
      <w:contextualSpacing w:val="1"/>
    </w:pPr>
  </w:style>
  <w:style w:type="paragraph" w:styleId="a">
    <w:name w:val="List Number"/>
    <w:basedOn w:val="a1"/>
    <w:uiPriority w:val="99"/>
    <w:unhideWhenUsed w:val="1"/>
    <w:rsid w:val="00326F90"/>
    <w:pPr>
      <w:numPr>
        <w:numId w:val="5"/>
      </w:numPr>
      <w:contextualSpacing w:val="1"/>
    </w:pPr>
  </w:style>
  <w:style w:type="paragraph" w:styleId="2">
    <w:name w:val="List Number 2"/>
    <w:basedOn w:val="a1"/>
    <w:uiPriority w:val="99"/>
    <w:unhideWhenUsed w:val="1"/>
    <w:rsid w:val="0029639D"/>
    <w:pPr>
      <w:numPr>
        <w:numId w:val="6"/>
      </w:numPr>
      <w:contextualSpacing w:val="1"/>
    </w:pPr>
  </w:style>
  <w:style w:type="paragraph" w:styleId="3">
    <w:name w:val="List Number 3"/>
    <w:basedOn w:val="a1"/>
    <w:uiPriority w:val="99"/>
    <w:unhideWhenUsed w:val="1"/>
    <w:rsid w:val="0029639D"/>
    <w:pPr>
      <w:numPr>
        <w:numId w:val="7"/>
      </w:numPr>
      <w:contextualSpacing w:val="1"/>
    </w:pPr>
  </w:style>
  <w:style w:type="paragraph" w:styleId="af2">
    <w:name w:val="List Continue"/>
    <w:basedOn w:val="a1"/>
    <w:uiPriority w:val="99"/>
    <w:unhideWhenUsed w:val="1"/>
    <w:rsid w:val="0029639D"/>
    <w:pPr>
      <w:spacing w:after="120"/>
      <w:ind w:left="360"/>
      <w:contextualSpacing w:val="1"/>
    </w:pPr>
  </w:style>
  <w:style w:type="paragraph" w:styleId="26">
    <w:name w:val="List Continue 2"/>
    <w:basedOn w:val="a1"/>
    <w:uiPriority w:val="99"/>
    <w:unhideWhenUsed w:val="1"/>
    <w:rsid w:val="0029639D"/>
    <w:pPr>
      <w:spacing w:after="120"/>
      <w:ind w:left="720"/>
      <w:contextualSpacing w:val="1"/>
    </w:pPr>
  </w:style>
  <w:style w:type="paragraph" w:styleId="36">
    <w:name w:val="List Continue 3"/>
    <w:basedOn w:val="a1"/>
    <w:uiPriority w:val="99"/>
    <w:unhideWhenUsed w:val="1"/>
    <w:rsid w:val="0029639D"/>
    <w:pPr>
      <w:spacing w:after="120"/>
      <w:ind w:left="1080"/>
      <w:contextualSpacing w:val="1"/>
    </w:pPr>
  </w:style>
  <w:style w:type="paragraph" w:styleId="af3">
    <w:name w:val="macro"/>
    <w:link w:val="af4"/>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af4" w:customStyle="1">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val="1"/>
    <w:rsid w:val="00FC693F"/>
    <w:rPr>
      <w:i w:val="1"/>
      <w:iCs w:val="1"/>
      <w:color w:val="000000" w:themeColor="text1"/>
    </w:rPr>
  </w:style>
  <w:style w:type="character" w:styleId="28" w:customStyle="1">
    <w:name w:val="Цитата 2 Знак"/>
    <w:basedOn w:val="a2"/>
    <w:link w:val="27"/>
    <w:uiPriority w:val="29"/>
    <w:rsid w:val="00FC693F"/>
    <w:rPr>
      <w:i w:val="1"/>
      <w:iCs w:val="1"/>
      <w:color w:val="000000" w:themeColor="text1"/>
    </w:rPr>
  </w:style>
  <w:style w:type="character" w:styleId="40" w:customStyle="1">
    <w:name w:val="Заголовок 4 Знак"/>
    <w:basedOn w:val="a2"/>
    <w:link w:val="4"/>
    <w:uiPriority w:val="9"/>
    <w:semiHidden w:val="1"/>
    <w:rsid w:val="00FC693F"/>
    <w:rPr>
      <w:rFonts w:asciiTheme="majorHAnsi" w:cstheme="majorBidi" w:eastAsiaTheme="majorEastAsia" w:hAnsiTheme="majorHAnsi"/>
      <w:b w:val="1"/>
      <w:bCs w:val="1"/>
      <w:i w:val="1"/>
      <w:iCs w:val="1"/>
      <w:color w:val="4f81bd" w:themeColor="accent1"/>
    </w:rPr>
  </w:style>
  <w:style w:type="character" w:styleId="50" w:customStyle="1">
    <w:name w:val="Заголовок 5 Знак"/>
    <w:basedOn w:val="a2"/>
    <w:link w:val="5"/>
    <w:uiPriority w:val="9"/>
    <w:semiHidden w:val="1"/>
    <w:rsid w:val="00FC693F"/>
    <w:rPr>
      <w:rFonts w:asciiTheme="majorHAnsi" w:cstheme="majorBidi" w:eastAsiaTheme="majorEastAsia" w:hAnsiTheme="majorHAnsi"/>
      <w:color w:val="243f60" w:themeColor="accent1" w:themeShade="00007F"/>
    </w:rPr>
  </w:style>
  <w:style w:type="character" w:styleId="60" w:customStyle="1">
    <w:name w:val="Заголовок 6 Знак"/>
    <w:basedOn w:val="a2"/>
    <w:link w:val="6"/>
    <w:uiPriority w:val="9"/>
    <w:semiHidden w:val="1"/>
    <w:rsid w:val="00FC693F"/>
    <w:rPr>
      <w:rFonts w:asciiTheme="majorHAnsi" w:cstheme="majorBidi" w:eastAsiaTheme="majorEastAsia" w:hAnsiTheme="majorHAnsi"/>
      <w:i w:val="1"/>
      <w:iCs w:val="1"/>
      <w:color w:val="243f60" w:themeColor="accent1" w:themeShade="00007F"/>
    </w:rPr>
  </w:style>
  <w:style w:type="character" w:styleId="70" w:customStyle="1">
    <w:name w:val="Заголовок 7 Знак"/>
    <w:basedOn w:val="a2"/>
    <w:link w:val="7"/>
    <w:uiPriority w:val="9"/>
    <w:semiHidden w:val="1"/>
    <w:rsid w:val="00FC693F"/>
    <w:rPr>
      <w:rFonts w:asciiTheme="majorHAnsi" w:cstheme="majorBidi" w:eastAsiaTheme="majorEastAsia" w:hAnsiTheme="majorHAnsi"/>
      <w:i w:val="1"/>
      <w:iCs w:val="1"/>
      <w:color w:val="404040" w:themeColor="text1" w:themeTint="0000BF"/>
    </w:rPr>
  </w:style>
  <w:style w:type="character" w:styleId="80" w:customStyle="1">
    <w:name w:val="Заголовок 8 Знак"/>
    <w:basedOn w:val="a2"/>
    <w:link w:val="8"/>
    <w:uiPriority w:val="9"/>
    <w:semiHidden w:val="1"/>
    <w:rsid w:val="00FC693F"/>
    <w:rPr>
      <w:rFonts w:asciiTheme="majorHAnsi" w:cstheme="majorBidi" w:eastAsiaTheme="majorEastAsia" w:hAnsiTheme="majorHAnsi"/>
      <w:color w:val="4f81bd" w:themeColor="accent1"/>
      <w:sz w:val="20"/>
      <w:szCs w:val="20"/>
    </w:rPr>
  </w:style>
  <w:style w:type="character" w:styleId="90" w:customStyle="1">
    <w:name w:val="Заголовок 9 Знак"/>
    <w:basedOn w:val="a2"/>
    <w:link w:val="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af5">
    <w:name w:val="caption"/>
    <w:basedOn w:val="a1"/>
    <w:next w:val="a1"/>
    <w:uiPriority w:val="35"/>
    <w:semiHidden w:val="1"/>
    <w:unhideWhenUsed w:val="1"/>
    <w:qFormat w:val="1"/>
    <w:rsid w:val="00FC693F"/>
    <w:pPr>
      <w:spacing w:line="240" w:lineRule="auto"/>
    </w:pPr>
    <w:rPr>
      <w:b w:val="1"/>
      <w:bCs w:val="1"/>
      <w:color w:val="4f81bd" w:themeColor="accent1"/>
      <w:sz w:val="18"/>
      <w:szCs w:val="18"/>
    </w:rPr>
  </w:style>
  <w:style w:type="character" w:styleId="af6">
    <w:name w:val="Strong"/>
    <w:basedOn w:val="a2"/>
    <w:uiPriority w:val="22"/>
    <w:qFormat w:val="1"/>
    <w:rsid w:val="00FC693F"/>
    <w:rPr>
      <w:b w:val="1"/>
      <w:bCs w:val="1"/>
    </w:rPr>
  </w:style>
  <w:style w:type="character" w:styleId="af7">
    <w:name w:val="Emphasis"/>
    <w:basedOn w:val="a2"/>
    <w:uiPriority w:val="20"/>
    <w:qFormat w:val="1"/>
    <w:rsid w:val="00FC693F"/>
    <w:rPr>
      <w:i w:val="1"/>
      <w:iCs w:val="1"/>
    </w:rPr>
  </w:style>
  <w:style w:type="paragraph" w:styleId="af8">
    <w:name w:val="Intense Quote"/>
    <w:basedOn w:val="a1"/>
    <w:next w:val="a1"/>
    <w:link w:val="af9"/>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af9" w:customStyle="1">
    <w:name w:val="Выделенная цитата Знак"/>
    <w:basedOn w:val="a2"/>
    <w:link w:val="af8"/>
    <w:uiPriority w:val="30"/>
    <w:rsid w:val="00FC693F"/>
    <w:rPr>
      <w:b w:val="1"/>
      <w:bCs w:val="1"/>
      <w:i w:val="1"/>
      <w:iCs w:val="1"/>
      <w:color w:val="4f81bd" w:themeColor="accent1"/>
    </w:rPr>
  </w:style>
  <w:style w:type="character" w:styleId="afa">
    <w:name w:val="Subtle Emphasis"/>
    <w:basedOn w:val="a2"/>
    <w:uiPriority w:val="19"/>
    <w:qFormat w:val="1"/>
    <w:rsid w:val="00FC693F"/>
    <w:rPr>
      <w:i w:val="1"/>
      <w:iCs w:val="1"/>
      <w:color w:val="808080" w:themeColor="text1" w:themeTint="00007F"/>
    </w:rPr>
  </w:style>
  <w:style w:type="character" w:styleId="afb">
    <w:name w:val="Intense Emphasis"/>
    <w:basedOn w:val="a2"/>
    <w:uiPriority w:val="21"/>
    <w:qFormat w:val="1"/>
    <w:rsid w:val="00FC693F"/>
    <w:rPr>
      <w:b w:val="1"/>
      <w:bCs w:val="1"/>
      <w:i w:val="1"/>
      <w:iCs w:val="1"/>
      <w:color w:val="4f81bd" w:themeColor="accent1"/>
    </w:rPr>
  </w:style>
  <w:style w:type="character" w:styleId="afc">
    <w:name w:val="Subtle Reference"/>
    <w:basedOn w:val="a2"/>
    <w:uiPriority w:val="31"/>
    <w:qFormat w:val="1"/>
    <w:rsid w:val="00FC693F"/>
    <w:rPr>
      <w:smallCaps w:val="1"/>
      <w:color w:val="c0504d" w:themeColor="accent2"/>
      <w:u w:val="single"/>
    </w:rPr>
  </w:style>
  <w:style w:type="character" w:styleId="afd">
    <w:name w:val="Intense Reference"/>
    <w:basedOn w:val="a2"/>
    <w:uiPriority w:val="32"/>
    <w:qFormat w:val="1"/>
    <w:rsid w:val="00FC693F"/>
    <w:rPr>
      <w:b w:val="1"/>
      <w:bCs w:val="1"/>
      <w:smallCaps w:val="1"/>
      <w:color w:val="c0504d" w:themeColor="accent2"/>
      <w:spacing w:val="5"/>
      <w:u w:val="single"/>
    </w:rPr>
  </w:style>
  <w:style w:type="character" w:styleId="afe">
    <w:name w:val="Book Title"/>
    <w:basedOn w:val="a2"/>
    <w:uiPriority w:val="33"/>
    <w:qFormat w:val="1"/>
    <w:rsid w:val="00FC693F"/>
    <w:rPr>
      <w:b w:val="1"/>
      <w:bCs w:val="1"/>
      <w:smallCaps w:val="1"/>
      <w:spacing w:val="5"/>
    </w:rPr>
  </w:style>
  <w:style w:type="paragraph" w:styleId="aff">
    <w:name w:val="TOC Heading"/>
    <w:basedOn w:val="1"/>
    <w:next w:val="a1"/>
    <w:uiPriority w:val="39"/>
    <w:semiHidden w:val="1"/>
    <w:unhideWhenUsed w:val="1"/>
    <w:qFormat w:val="1"/>
    <w:rsid w:val="00FC693F"/>
    <w:pPr>
      <w:outlineLvl w:val="9"/>
    </w:pPr>
  </w:style>
  <w:style w:type="table" w:styleId="aff0">
    <w:name w:val="Table Grid"/>
    <w:basedOn w:val="a3"/>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f1">
    <w:name w:val="Light Shading"/>
    <w:basedOn w:val="a3"/>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1">
    <w:name w:val="Light Shading Accent 1"/>
    <w:basedOn w:val="a3"/>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2">
    <w:name w:val="Light Shading Accent 2"/>
    <w:basedOn w:val="a3"/>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3">
    <w:name w:val="Light Shading Accent 3"/>
    <w:basedOn w:val="a3"/>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4">
    <w:name w:val="Light Shading Accent 4"/>
    <w:basedOn w:val="a3"/>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5">
    <w:name w:val="Light Shading Accent 5"/>
    <w:basedOn w:val="a3"/>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6">
    <w:name w:val="Light Shading Accent 6"/>
    <w:basedOn w:val="a3"/>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aff2">
    <w:name w:val="Light List"/>
    <w:basedOn w:val="a3"/>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10">
    <w:name w:val="Light List Accent 1"/>
    <w:basedOn w:val="a3"/>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20">
    <w:name w:val="Light List Accent 2"/>
    <w:basedOn w:val="a3"/>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30">
    <w:name w:val="Light List Accent 3"/>
    <w:basedOn w:val="a3"/>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40">
    <w:name w:val="Light List Accent 4"/>
    <w:basedOn w:val="a3"/>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50">
    <w:name w:val="Light List Accent 5"/>
    <w:basedOn w:val="a3"/>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60">
    <w:name w:val="Light List Accent 6"/>
    <w:basedOn w:val="a3"/>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aff3">
    <w:name w:val="Light Grid"/>
    <w:basedOn w:val="a3"/>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11">
    <w:name w:val="Light Grid Accent 1"/>
    <w:basedOn w:val="a3"/>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21">
    <w:name w:val="Light Grid Accent 2"/>
    <w:basedOn w:val="a3"/>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31">
    <w:name w:val="Light Grid Accent 3"/>
    <w:basedOn w:val="a3"/>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41">
    <w:name w:val="Light Grid Accent 4"/>
    <w:basedOn w:val="a3"/>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51">
    <w:name w:val="Light Grid Accent 5"/>
    <w:basedOn w:val="a3"/>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61">
    <w:name w:val="Light Grid Accent 6"/>
    <w:basedOn w:val="a3"/>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11">
    <w:name w:val="Medium Shading 1"/>
    <w:basedOn w:val="a3"/>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2a">
    <w:name w:val="Medium List 2"/>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10">
    <w:name w:val="Medium List 2 Accent 1"/>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20">
    <w:name w:val="Medium List 2 Accent 2"/>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30">
    <w:name w:val="Medium List 2 Accent 3"/>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40">
    <w:name w:val="Medium List 2 Accent 4"/>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50">
    <w:name w:val="Medium List 2 Accent 5"/>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60">
    <w:name w:val="Medium List 2 Accent 6"/>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1-11">
    <w:name w:val="Medium Grid 1 Accent 1"/>
    <w:basedOn w:val="a3"/>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1-21">
    <w:name w:val="Medium Grid 1 Accent 2"/>
    <w:basedOn w:val="a3"/>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1-31">
    <w:name w:val="Medium Grid 1 Accent 3"/>
    <w:basedOn w:val="a3"/>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1-41">
    <w:name w:val="Medium Grid 1 Accent 4"/>
    <w:basedOn w:val="a3"/>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1-51">
    <w:name w:val="Medium Grid 1 Accent 5"/>
    <w:basedOn w:val="a3"/>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1-61">
    <w:name w:val="Medium Grid 1 Accent 6"/>
    <w:basedOn w:val="a3"/>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2b">
    <w:name w:val="Medium Grid 2"/>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2-11">
    <w:name w:val="Medium Grid 2 Accent 1"/>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2-21">
    <w:name w:val="Medium Grid 2 Accent 2"/>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2-31">
    <w:name w:val="Medium Grid 2 Accent 3"/>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2-41">
    <w:name w:val="Medium Grid 2 Accent 4"/>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2-51">
    <w:name w:val="Medium Grid 2 Accent 5"/>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2-61">
    <w:name w:val="Medium Grid 2 Accent 6"/>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37">
    <w:name w:val="Medium Grid 3"/>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3-1">
    <w:name w:val="Medium Grid 3 Accent 1"/>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3-2">
    <w:name w:val="Medium Grid 3 Accent 2"/>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3-3">
    <w:name w:val="Medium Grid 3 Accent 3"/>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3-4">
    <w:name w:val="Medium Grid 3 Accent 4"/>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3-5">
    <w:name w:val="Medium Grid 3 Accent 5"/>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3-6">
    <w:name w:val="Medium Grid 3 Accent 6"/>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4uWefmvTqH82UkTaLXg/KwR9ow==">CgMxLjA4AHIhMUxsWVFRUFhadGJwZWJIQks2dk56SWE5LWtTeVRKTWJL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